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 xml:space="preserve">                    </w:t>
      </w:r>
      <w:r>
        <w:rPr>
          <w:rFonts w:ascii="Times New Roman" w:eastAsia="Times New Roman" w:hAnsi="Times New Roman" w:cs="Times New Roman"/>
        </w:rPr>
        <w:t>Дело № 2-266-2602/24</w:t>
      </w:r>
    </w:p>
    <w:p>
      <w:pPr>
        <w:keepNext/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ЗАОЧНОЕ РЕШЕНИЕ</w:t>
      </w:r>
    </w:p>
    <w:p>
      <w:pPr>
        <w:keepNext/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Именем Российской Федерации</w:t>
      </w:r>
    </w:p>
    <w:p>
      <w:pPr>
        <w:keepNext/>
        <w:spacing w:before="0" w:after="0"/>
        <w:jc w:val="center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(резолютивная часть)</w:t>
      </w: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г. Сургут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eastAsia="Times New Roman" w:hAnsi="Times New Roman" w:cs="Times New Roman"/>
          <w:sz w:val="26"/>
          <w:szCs w:val="26"/>
        </w:rPr>
        <w:t>26 февраля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</w:p>
    <w:p>
      <w:pPr>
        <w:spacing w:before="0" w:after="0"/>
        <w:ind w:firstLine="720"/>
        <w:jc w:val="both"/>
        <w:rPr>
          <w:sz w:val="26"/>
          <w:szCs w:val="26"/>
        </w:rPr>
      </w:pP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 судебного участка № 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судебного района города окружного значения Сургута Бордунов М.Б., при секретаре судебного заседания </w:t>
      </w:r>
      <w:r>
        <w:rPr>
          <w:rFonts w:ascii="Times New Roman" w:eastAsia="Times New Roman" w:hAnsi="Times New Roman" w:cs="Times New Roman"/>
          <w:sz w:val="26"/>
          <w:szCs w:val="26"/>
        </w:rPr>
        <w:t>Слесаревой Т.И.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рассмотрев в открытом судебном заседании гражданское дело по иску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Администрации городского округа Тольятти к Хоменко Елене Николаевне о взыскании неосновательного обогащения и процентов за пользование чужими денежными средствами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руководствуясь ст.ст. 167, 194-199, 233, 235 Гражданского процессуального кодекса Российской Федерации, </w:t>
      </w:r>
    </w:p>
    <w:p>
      <w:pPr>
        <w:spacing w:before="0" w:after="0"/>
        <w:ind w:firstLine="567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РЕШИЛ: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Иск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Администрации городского округа Тольятти к Хоменко Елене Николаевне о взыскании неосновательного обогащения и процентов за пользование чужими денежными средствами – </w:t>
      </w:r>
      <w:r>
        <w:rPr>
          <w:rFonts w:ascii="Times New Roman" w:eastAsia="Times New Roman" w:hAnsi="Times New Roman" w:cs="Times New Roman"/>
          <w:sz w:val="26"/>
          <w:szCs w:val="26"/>
        </w:rPr>
        <w:t>удовлетворить.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Взыскать с </w:t>
      </w:r>
      <w:r>
        <w:rPr>
          <w:rFonts w:ascii="Times New Roman" w:eastAsia="Times New Roman" w:hAnsi="Times New Roman" w:cs="Times New Roman"/>
          <w:sz w:val="26"/>
          <w:szCs w:val="26"/>
        </w:rPr>
        <w:t>Хоменко Елены Николаевны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Style w:val="cat-PassportDatagrp-16rplc-9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пользу Администрации городского округа Тольятти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ИНН </w:t>
      </w:r>
      <w:r>
        <w:rPr>
          <w:rStyle w:val="cat-PhoneNumbergrp-17rplc-13"/>
          <w:rFonts w:ascii="Times New Roman" w:eastAsia="Times New Roman" w:hAnsi="Times New Roman" w:cs="Times New Roman"/>
          <w:sz w:val="26"/>
          <w:szCs w:val="26"/>
        </w:rPr>
        <w:t>телефон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неосновате</w:t>
      </w:r>
      <w:r>
        <w:rPr>
          <w:rFonts w:ascii="Times New Roman" w:eastAsia="Times New Roman" w:hAnsi="Times New Roman" w:cs="Times New Roman"/>
          <w:sz w:val="26"/>
          <w:szCs w:val="26"/>
        </w:rPr>
        <w:t>льное обогащение в размере 2 721 рубль 36 копеек за период с 01.03.2023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</w:t>
      </w:r>
      <w:r>
        <w:rPr>
          <w:rFonts w:ascii="Times New Roman" w:eastAsia="Times New Roman" w:hAnsi="Times New Roman" w:cs="Times New Roman"/>
          <w:sz w:val="26"/>
          <w:szCs w:val="26"/>
        </w:rPr>
        <w:t>о 31.08.2023</w:t>
      </w:r>
      <w:r>
        <w:rPr>
          <w:rFonts w:ascii="Times New Roman" w:eastAsia="Times New Roman" w:hAnsi="Times New Roman" w:cs="Times New Roman"/>
          <w:sz w:val="26"/>
          <w:szCs w:val="26"/>
        </w:rPr>
        <w:t>, проценты за пользование чужими де</w:t>
      </w:r>
      <w:r>
        <w:rPr>
          <w:rFonts w:ascii="Times New Roman" w:eastAsia="Times New Roman" w:hAnsi="Times New Roman" w:cs="Times New Roman"/>
          <w:sz w:val="26"/>
          <w:szCs w:val="26"/>
        </w:rPr>
        <w:t>нежными средствами в размере 48 рублей 8</w:t>
      </w:r>
      <w:r>
        <w:rPr>
          <w:rFonts w:ascii="Times New Roman" w:eastAsia="Times New Roman" w:hAnsi="Times New Roman" w:cs="Times New Roman"/>
          <w:sz w:val="26"/>
          <w:szCs w:val="26"/>
        </w:rPr>
        <w:t>9 копеек, а всего взыскать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2 770 (дв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е тысячи </w:t>
      </w:r>
      <w:r>
        <w:rPr>
          <w:rFonts w:ascii="Times New Roman" w:eastAsia="Times New Roman" w:hAnsi="Times New Roman" w:cs="Times New Roman"/>
          <w:sz w:val="26"/>
          <w:szCs w:val="26"/>
        </w:rPr>
        <w:t>семьсот семьдесят) рублей 25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копеек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Взыскать с </w:t>
      </w:r>
      <w:r>
        <w:rPr>
          <w:rFonts w:ascii="Times New Roman" w:eastAsia="Times New Roman" w:hAnsi="Times New Roman" w:cs="Times New Roman"/>
          <w:sz w:val="26"/>
          <w:szCs w:val="26"/>
        </w:rPr>
        <w:t>Хоменко Елены Николаевны государственную пошлину в размере 400 рублей 00 копеек в доход местного бюджета.</w:t>
      </w:r>
    </w:p>
    <w:p>
      <w:pPr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Разъяснить сторонам, что заявление о составлении мотивированного решения суда может быть подано в течение трёх дней со дня объявления резолютивной части решения суда, если лица, участвующие в деле, их представители присутствовали в судебном заседании;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Ответчик вправе подать в суд, принявший заочное решение, заявление об отмене этого решения суда в течение семи дней со дня вручения ему копии этого решения.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Ответчиком заочное решение суда может быть обжаловано в апелляционном порядке в течение одного месяца со дня вынесения определения суда об отказе в удовлетворении заявления об отмене этого решения суда.</w:t>
      </w:r>
    </w:p>
    <w:p>
      <w:pPr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Иными лицами, участвующими в деле, а также лицами, которые не были привлечены к участию в деле и вопрос о правах и об обязанностях которых был разрешен судом, заочное решение суда может быть обжаловано в апелляционном порядке в течение одного месяца по истечении срока подачи ответчиком заявления об отмене этого решения суда, а в случае, если такое заявление подано, в течение одного месяца со дня вынесения определения суда об отказе в удовлетворении этого заявления.</w:t>
      </w: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М.Б. Бордунов</w:t>
      </w:r>
    </w:p>
    <w:p>
      <w:pPr>
        <w:spacing w:before="0" w:after="0"/>
        <w:jc w:val="both"/>
        <w:rPr>
          <w:sz w:val="20"/>
          <w:szCs w:val="20"/>
        </w:rPr>
      </w:pP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КОПИЯ ВЕРНА 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sz w:val="20"/>
          <w:szCs w:val="20"/>
        </w:rPr>
        <w:t>иро</w:t>
      </w:r>
      <w:r>
        <w:rPr>
          <w:rFonts w:ascii="Times New Roman" w:eastAsia="Times New Roman" w:hAnsi="Times New Roman" w:cs="Times New Roman"/>
          <w:sz w:val="20"/>
          <w:szCs w:val="20"/>
        </w:rPr>
        <w:t>вой судья судебного участка №2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Сургутского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ХМАО-Югры ______________________ М.Б. Бордунов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«_____» ______________ 2021 года 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Подлинный документ находится в деле № </w:t>
      </w:r>
      <w:r>
        <w:rPr>
          <w:rFonts w:ascii="Times New Roman" w:eastAsia="Times New Roman" w:hAnsi="Times New Roman" w:cs="Times New Roman"/>
          <w:sz w:val="20"/>
          <w:szCs w:val="20"/>
        </w:rPr>
        <w:t>2-266-2602/2024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 Т.И. Слесарева</w:t>
      </w:r>
    </w:p>
    <w:sectPr>
      <w:headerReference w:type="default" r:id="rId4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  <w:jc w:val="center"/>
      <w:rPr>
        <w:sz w:val="22"/>
        <w:szCs w:val="22"/>
      </w:rPr>
    </w:pP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PAGE   \* MERGEFORMAT </w:instrText>
    </w:r>
    <w:r>
      <w:rPr>
        <w:sz w:val="22"/>
        <w:szCs w:val="22"/>
      </w:rPr>
      <w:fldChar w:fldCharType="separate"/>
    </w:r>
    <w:r>
      <w:rPr>
        <w:rFonts w:ascii="Calibri" w:eastAsia="Calibri" w:hAnsi="Calibri" w:cs="Calibri"/>
        <w:sz w:val="22"/>
        <w:szCs w:val="22"/>
      </w:rPr>
      <w:t>1</w:t>
    </w:r>
    <w:r>
      <w:rPr>
        <w:rFonts w:ascii="Calibri" w:eastAsia="Calibri" w:hAnsi="Calibri" w:cs="Calibri"/>
        <w:sz w:val="22"/>
        <w:szCs w:val="22"/>
      </w:rPr>
      <w:fldChar w:fldCharType="end"/>
    </w:r>
  </w:p>
  <w:p>
    <w:pPr>
      <w:spacing w:before="0" w:after="0"/>
      <w:rPr>
        <w:sz w:val="22"/>
        <w:szCs w:val="2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PassportDatagrp-16rplc-9">
    <w:name w:val="cat-PassportData grp-16 rplc-9"/>
    <w:basedOn w:val="DefaultParagraphFont"/>
  </w:style>
  <w:style w:type="character" w:customStyle="1" w:styleId="cat-PhoneNumbergrp-17rplc-13">
    <w:name w:val="cat-PhoneNumber grp-17 rplc-13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